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D6EB8" w:rsidRPr="00060B58" w:rsidRDefault="006D6EB8" w:rsidP="006D6EB8">
      <w:pPr>
        <w:bidi/>
        <w:spacing w:after="0" w:line="240" w:lineRule="auto"/>
        <w:rPr>
          <w:rFonts w:ascii="Garamond" w:hAnsi="Garamond"/>
          <w:b/>
          <w:bCs/>
          <w:lang w:bidi="ar-DZ"/>
        </w:rPr>
      </w:pPr>
      <w:r w:rsidRPr="00060B58">
        <w:rPr>
          <w:noProof/>
          <w:sz w:val="20"/>
          <w:szCs w:val="20"/>
        </w:rPr>
        <w:drawing>
          <wp:anchor distT="0" distB="0" distL="114300" distR="114300" simplePos="0" relativeHeight="251659264" behindDoc="0" locked="0" layoutInCell="1" allowOverlap="1">
            <wp:simplePos x="0" y="0"/>
            <wp:positionH relativeFrom="column">
              <wp:posOffset>-1270</wp:posOffset>
            </wp:positionH>
            <wp:positionV relativeFrom="paragraph">
              <wp:posOffset>-29210</wp:posOffset>
            </wp:positionV>
            <wp:extent cx="835660" cy="755015"/>
            <wp:effectExtent l="0" t="0" r="2540" b="6985"/>
            <wp:wrapNone/>
            <wp:docPr id="1202113598" name="Image 1" descr="http://www.univ-tiaret.dz/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tiaret.dz/images/logo.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3566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B58">
        <w:rPr>
          <w:rFonts w:ascii="Garamond" w:hAnsi="Garamond"/>
          <w:b/>
          <w:bCs/>
          <w:rtl/>
          <w:lang w:bidi="ar-DZ"/>
        </w:rPr>
        <w:t>جامعة ابن خلدون – تيارت –</w:t>
      </w:r>
    </w:p>
    <w:p w:rsidR="006D6EB8" w:rsidRPr="00060B58" w:rsidRDefault="006D6EB8" w:rsidP="006D6EB8">
      <w:pPr>
        <w:spacing w:after="0" w:line="240" w:lineRule="auto"/>
        <w:jc w:val="right"/>
        <w:rPr>
          <w:rFonts w:ascii="Garamond" w:hAnsi="Garamond"/>
          <w:b/>
          <w:bCs/>
          <w:lang w:bidi="ar-DZ"/>
        </w:rPr>
      </w:pPr>
      <w:r w:rsidRPr="00060B58">
        <w:rPr>
          <w:rFonts w:ascii="Garamond" w:hAnsi="Garamond"/>
          <w:b/>
          <w:bCs/>
          <w:lang w:bidi="ar-DZ"/>
        </w:rPr>
        <w:t>Université Ibn Khaldoun, Tiaret</w:t>
      </w:r>
    </w:p>
    <w:p w:rsidR="006D6EB8" w:rsidRPr="00060B58" w:rsidRDefault="006D6EB8" w:rsidP="006D6EB8">
      <w:pPr>
        <w:bidi/>
        <w:spacing w:after="0" w:line="240" w:lineRule="auto"/>
        <w:rPr>
          <w:rFonts w:ascii="Garamond" w:hAnsi="Garamond"/>
          <w:b/>
          <w:bCs/>
          <w:lang w:bidi="ar-DZ"/>
        </w:rPr>
      </w:pPr>
      <w:r w:rsidRPr="00060B58">
        <w:rPr>
          <w:rFonts w:ascii="Garamond" w:hAnsi="Garamond"/>
          <w:b/>
          <w:bCs/>
          <w:rtl/>
          <w:lang w:bidi="ar-DZ"/>
        </w:rPr>
        <w:t>كلية</w:t>
      </w:r>
      <w:r w:rsidRPr="00060B58">
        <w:rPr>
          <w:rFonts w:ascii="Garamond" w:hAnsi="Garamond"/>
          <w:b/>
          <w:bCs/>
          <w:lang w:bidi="ar-DZ"/>
        </w:rPr>
        <w:t xml:space="preserve"> </w:t>
      </w:r>
      <w:r w:rsidRPr="00060B58">
        <w:rPr>
          <w:rFonts w:ascii="Garamond" w:hAnsi="Garamond"/>
          <w:b/>
          <w:bCs/>
          <w:rtl/>
          <w:lang w:bidi="ar-DZ"/>
        </w:rPr>
        <w:t xml:space="preserve">علوم الطبيعة </w:t>
      </w:r>
      <w:proofErr w:type="gramStart"/>
      <w:r w:rsidRPr="00060B58">
        <w:rPr>
          <w:rFonts w:ascii="Garamond" w:hAnsi="Garamond"/>
          <w:b/>
          <w:bCs/>
          <w:rtl/>
          <w:lang w:bidi="ar-DZ"/>
        </w:rPr>
        <w:t>و الحياة</w:t>
      </w:r>
      <w:proofErr w:type="gramEnd"/>
    </w:p>
    <w:p w:rsidR="006D6EB8" w:rsidRPr="00060B58" w:rsidRDefault="006D6EB8" w:rsidP="006D6EB8">
      <w:pPr>
        <w:spacing w:after="0" w:line="240" w:lineRule="auto"/>
        <w:jc w:val="right"/>
        <w:rPr>
          <w:rFonts w:ascii="Garamond" w:hAnsi="Garamond"/>
          <w:b/>
          <w:bCs/>
          <w:lang w:bidi="ar-DZ"/>
        </w:rPr>
      </w:pPr>
      <w:r w:rsidRPr="00060B58">
        <w:rPr>
          <w:rFonts w:ascii="Garamond" w:hAnsi="Garamond"/>
          <w:b/>
          <w:bCs/>
          <w:lang w:bidi="ar-DZ"/>
        </w:rPr>
        <w:t>Faculté des Sciences de la Nature et de la Vie</w:t>
      </w:r>
    </w:p>
    <w:p w:rsidR="006D6EB8" w:rsidRPr="00060B58" w:rsidRDefault="006D6EB8" w:rsidP="006D6EB8">
      <w:pPr>
        <w:spacing w:after="0"/>
        <w:jc w:val="right"/>
        <w:rPr>
          <w:b/>
          <w:bCs/>
          <w:sz w:val="6"/>
          <w:szCs w:val="6"/>
          <w:lang w:bidi="ar-DZ"/>
        </w:rPr>
      </w:pPr>
    </w:p>
    <w:p w:rsidR="006D6EB8" w:rsidRPr="00902948" w:rsidRDefault="006D6EB8" w:rsidP="006D6EB8">
      <w:pPr>
        <w:spacing w:after="0" w:line="240" w:lineRule="auto"/>
        <w:jc w:val="right"/>
        <w:rPr>
          <w:rFonts w:ascii="Times New Roman" w:hAnsi="Times New Roman"/>
          <w:b/>
          <w:bCs/>
          <w:sz w:val="24"/>
          <w:szCs w:val="24"/>
        </w:rPr>
      </w:pPr>
      <w:r w:rsidRPr="00902948">
        <w:rPr>
          <w:rFonts w:ascii="Garamond" w:hAnsi="Garamond"/>
          <w:sz w:val="24"/>
          <w:szCs w:val="24"/>
        </w:rPr>
        <w:t xml:space="preserve">Tiaret, </w:t>
      </w:r>
      <w:r>
        <w:rPr>
          <w:rFonts w:ascii="Garamond" w:hAnsi="Garamond"/>
          <w:sz w:val="24"/>
          <w:szCs w:val="24"/>
        </w:rPr>
        <w:t>Janvier</w:t>
      </w:r>
      <w:r w:rsidRPr="00902948">
        <w:rPr>
          <w:rFonts w:ascii="Garamond" w:hAnsi="Garamond"/>
          <w:sz w:val="24"/>
          <w:szCs w:val="24"/>
        </w:rPr>
        <w:t xml:space="preserve"> 202</w:t>
      </w:r>
      <w:r>
        <w:rPr>
          <w:rFonts w:ascii="Garamond" w:hAnsi="Garamond"/>
          <w:sz w:val="24"/>
          <w:szCs w:val="24"/>
        </w:rPr>
        <w:t>3</w:t>
      </w:r>
    </w:p>
    <w:p w:rsidR="006D6EB8" w:rsidRPr="00902948" w:rsidRDefault="006D6EB8" w:rsidP="006D6EB8">
      <w:pPr>
        <w:spacing w:after="0" w:line="240" w:lineRule="auto"/>
        <w:rPr>
          <w:rFonts w:ascii="Garamond" w:hAnsi="Garamond"/>
          <w:b/>
          <w:bCs/>
          <w:sz w:val="24"/>
          <w:szCs w:val="24"/>
        </w:rPr>
      </w:pPr>
      <w:r w:rsidRPr="00902948">
        <w:rPr>
          <w:rFonts w:ascii="Garamond" w:hAnsi="Garamond"/>
          <w:b/>
          <w:bCs/>
          <w:sz w:val="24"/>
          <w:szCs w:val="24"/>
        </w:rPr>
        <w:t xml:space="preserve">Spécialité : </w:t>
      </w:r>
      <w:r w:rsidRPr="00902948">
        <w:rPr>
          <w:rFonts w:ascii="Garamond" w:hAnsi="Garamond"/>
          <w:b/>
          <w:bCs/>
          <w:sz w:val="24"/>
          <w:szCs w:val="24"/>
        </w:rPr>
        <w:tab/>
      </w:r>
      <w:r>
        <w:rPr>
          <w:rFonts w:ascii="Garamond" w:hAnsi="Garamond"/>
          <w:sz w:val="24"/>
          <w:szCs w:val="24"/>
        </w:rPr>
        <w:t>Master 1</w:t>
      </w:r>
      <w:r w:rsidRPr="00902948">
        <w:rPr>
          <w:rFonts w:ascii="Garamond" w:hAnsi="Garamond"/>
          <w:sz w:val="24"/>
          <w:szCs w:val="24"/>
        </w:rPr>
        <w:t xml:space="preserve"> « Biologie Moléculaire </w:t>
      </w:r>
      <w:r>
        <w:rPr>
          <w:rFonts w:ascii="Garamond" w:hAnsi="Garamond"/>
          <w:sz w:val="24"/>
          <w:szCs w:val="24"/>
        </w:rPr>
        <w:t xml:space="preserve">et Cellulaire </w:t>
      </w:r>
      <w:r w:rsidRPr="00902948">
        <w:rPr>
          <w:rFonts w:ascii="Garamond" w:hAnsi="Garamond"/>
          <w:sz w:val="24"/>
          <w:szCs w:val="24"/>
        </w:rPr>
        <w:t>».</w:t>
      </w:r>
    </w:p>
    <w:p w:rsidR="006D6EB8" w:rsidRPr="004B5A23" w:rsidRDefault="006D6EB8" w:rsidP="006D6EB8">
      <w:pPr>
        <w:spacing w:after="0" w:line="240" w:lineRule="auto"/>
        <w:rPr>
          <w:rFonts w:ascii="Garamond" w:hAnsi="Garamond"/>
          <w:b/>
          <w:bCs/>
          <w:sz w:val="24"/>
          <w:szCs w:val="24"/>
        </w:rPr>
      </w:pPr>
      <w:r w:rsidRPr="00351E3C">
        <w:rPr>
          <w:rFonts w:ascii="Garamond" w:hAnsi="Garamond"/>
          <w:b/>
          <w:bCs/>
          <w:sz w:val="24"/>
          <w:szCs w:val="24"/>
        </w:rPr>
        <w:t>Chargé du module :</w:t>
      </w:r>
      <w:r>
        <w:rPr>
          <w:rFonts w:ascii="Garamond" w:hAnsi="Garamond"/>
          <w:sz w:val="24"/>
          <w:szCs w:val="24"/>
        </w:rPr>
        <w:t xml:space="preserve"> </w:t>
      </w:r>
      <w:r>
        <w:rPr>
          <w:rFonts w:ascii="Garamond" w:hAnsi="Garamond"/>
          <w:sz w:val="24"/>
          <w:szCs w:val="24"/>
        </w:rPr>
        <w:tab/>
        <w:t>Prof. Khaled TAÏBI.</w:t>
      </w:r>
    </w:p>
    <w:p w:rsidR="00952052" w:rsidRDefault="00952052">
      <w:pPr>
        <w:rPr>
          <w:rFonts w:ascii="Times New Roman" w:hAnsi="Times New Roman" w:cs="Times New Roman"/>
          <w:b/>
          <w:bCs/>
          <w:sz w:val="24"/>
          <w:szCs w:val="24"/>
        </w:rPr>
      </w:pPr>
    </w:p>
    <w:p w:rsidR="00A143F8" w:rsidRPr="009605EF" w:rsidRDefault="009605EF">
      <w:pPr>
        <w:rPr>
          <w:rFonts w:ascii="Times New Roman" w:hAnsi="Times New Roman" w:cs="Times New Roman"/>
          <w:sz w:val="24"/>
          <w:szCs w:val="24"/>
        </w:rPr>
      </w:pPr>
      <w:r w:rsidRPr="009605EF">
        <w:rPr>
          <w:rFonts w:ascii="Times New Roman" w:hAnsi="Times New Roman" w:cs="Times New Roman"/>
          <w:b/>
          <w:bCs/>
          <w:sz w:val="24"/>
          <w:szCs w:val="24"/>
        </w:rPr>
        <w:t>Module :</w:t>
      </w:r>
      <w:r w:rsidRPr="009605EF">
        <w:rPr>
          <w:rFonts w:ascii="Times New Roman" w:hAnsi="Times New Roman" w:cs="Times New Roman"/>
          <w:sz w:val="24"/>
          <w:szCs w:val="24"/>
        </w:rPr>
        <w:t xml:space="preserve"> </w:t>
      </w:r>
      <w:r w:rsidR="00A74921">
        <w:rPr>
          <w:rFonts w:ascii="Times New Roman" w:hAnsi="Times New Roman" w:cs="Times New Roman"/>
          <w:sz w:val="24"/>
          <w:szCs w:val="24"/>
        </w:rPr>
        <w:t>G</w:t>
      </w:r>
      <w:r w:rsidRPr="009605EF">
        <w:rPr>
          <w:rFonts w:ascii="Times New Roman" w:hAnsi="Times New Roman" w:cs="Times New Roman"/>
          <w:sz w:val="24"/>
          <w:szCs w:val="24"/>
        </w:rPr>
        <w:t>én</w:t>
      </w:r>
      <w:r w:rsidR="00A74921">
        <w:rPr>
          <w:rFonts w:ascii="Times New Roman" w:hAnsi="Times New Roman" w:cs="Times New Roman"/>
          <w:sz w:val="24"/>
          <w:szCs w:val="24"/>
        </w:rPr>
        <w:t>omi</w:t>
      </w:r>
      <w:r w:rsidRPr="009605EF">
        <w:rPr>
          <w:rFonts w:ascii="Times New Roman" w:hAnsi="Times New Roman" w:cs="Times New Roman"/>
          <w:sz w:val="24"/>
          <w:szCs w:val="24"/>
        </w:rPr>
        <w:t>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4921">
        <w:rPr>
          <w:rFonts w:ascii="Times New Roman" w:hAnsi="Times New Roman" w:cs="Times New Roman"/>
          <w:sz w:val="24"/>
          <w:szCs w:val="24"/>
        </w:rPr>
        <w:t>M1</w:t>
      </w:r>
      <w:r>
        <w:rPr>
          <w:rFonts w:ascii="Times New Roman" w:hAnsi="Times New Roman" w:cs="Times New Roman"/>
          <w:sz w:val="24"/>
          <w:szCs w:val="24"/>
        </w:rPr>
        <w:t xml:space="preserve"> Biologie moléculaire</w:t>
      </w:r>
      <w:r w:rsidR="00A74921">
        <w:rPr>
          <w:rFonts w:ascii="Times New Roman" w:hAnsi="Times New Roman" w:cs="Times New Roman"/>
          <w:sz w:val="24"/>
          <w:szCs w:val="24"/>
        </w:rPr>
        <w:t xml:space="preserve"> et cellulaire</w:t>
      </w:r>
    </w:p>
    <w:p w:rsidR="009247EC" w:rsidRDefault="009247EC" w:rsidP="009247EC">
      <w:pPr>
        <w:spacing w:after="0"/>
        <w:jc w:val="center"/>
        <w:rPr>
          <w:rFonts w:ascii="Garamond" w:hAnsi="Garamond"/>
          <w:b/>
          <w:bCs/>
          <w:sz w:val="28"/>
          <w:szCs w:val="28"/>
        </w:rPr>
      </w:pPr>
      <w:r>
        <w:rPr>
          <w:rFonts w:ascii="Garamond" w:hAnsi="Garamond"/>
          <w:b/>
          <w:bCs/>
          <w:sz w:val="28"/>
          <w:szCs w:val="28"/>
        </w:rPr>
        <w:t>Corrigé type</w:t>
      </w:r>
    </w:p>
    <w:p w:rsidR="00B611C2" w:rsidRDefault="00B611C2" w:rsidP="009247EC">
      <w:pPr>
        <w:spacing w:after="0"/>
        <w:jc w:val="center"/>
        <w:rPr>
          <w:rFonts w:ascii="Garamond" w:hAnsi="Garamond"/>
          <w:b/>
          <w:bCs/>
          <w:sz w:val="28"/>
          <w:szCs w:val="28"/>
        </w:rPr>
      </w:pPr>
    </w:p>
    <w:p w:rsidR="009247EC" w:rsidRDefault="009247EC" w:rsidP="009247EC">
      <w:pPr>
        <w:spacing w:after="0"/>
        <w:jc w:val="both"/>
        <w:rPr>
          <w:rFonts w:ascii="Garamond" w:hAnsi="Garamond" w:cs="Garamond"/>
          <w:lang w:eastAsia="es-ES"/>
        </w:rPr>
      </w:pPr>
      <w:r>
        <w:rPr>
          <w:rFonts w:ascii="Garamond" w:hAnsi="Garamond" w:cs="Garamond"/>
          <w:lang w:eastAsia="es-ES"/>
        </w:rPr>
        <w:t xml:space="preserve">/ </w:t>
      </w:r>
      <w:r w:rsidR="00B611C2" w:rsidRPr="00B611C2">
        <w:rPr>
          <w:rFonts w:ascii="Garamond" w:hAnsi="Garamond" w:cs="Garamond"/>
          <w:lang w:eastAsia="es-ES"/>
        </w:rPr>
        <w:t xml:space="preserve">La similarité est une quantité qui se mesure en % ressemblance parfaite entre deux séquences. </w:t>
      </w:r>
      <w:r w:rsidR="00B611C2">
        <w:rPr>
          <w:rFonts w:ascii="Garamond" w:hAnsi="Garamond" w:cs="Garamond"/>
          <w:lang w:eastAsia="es-ES"/>
        </w:rPr>
        <w:t>Cependant, l</w:t>
      </w:r>
      <w:r w:rsidR="00B611C2" w:rsidRPr="00B611C2">
        <w:rPr>
          <w:rFonts w:ascii="Garamond" w:hAnsi="Garamond" w:cs="Garamond"/>
          <w:lang w:eastAsia="es-ES"/>
        </w:rPr>
        <w:t>'homologie est une propriété de séquences qui a une connotation évolutive. Deux séquences sont dites homologues si elles possèdent un ancêtre commun.</w:t>
      </w:r>
    </w:p>
    <w:p w:rsidR="006D6EB8" w:rsidRDefault="006D6EB8" w:rsidP="006D6EB8">
      <w:pPr>
        <w:spacing w:after="0"/>
        <w:jc w:val="both"/>
        <w:rPr>
          <w:rFonts w:ascii="Garamond" w:hAnsi="Garamond" w:cs="Garamond"/>
          <w:lang w:eastAsia="es-ES"/>
        </w:rPr>
      </w:pPr>
    </w:p>
    <w:p w:rsidR="006D6EB8" w:rsidRDefault="006D6EB8" w:rsidP="006D6EB8">
      <w:pPr>
        <w:spacing w:after="0"/>
        <w:jc w:val="both"/>
        <w:rPr>
          <w:rFonts w:ascii="Garamond" w:hAnsi="Garamond" w:cs="Garamond"/>
          <w:lang w:eastAsia="es-ES"/>
        </w:rPr>
      </w:pPr>
      <w:r>
        <w:rPr>
          <w:rFonts w:ascii="Garamond" w:hAnsi="Garamond" w:cs="Garamond"/>
          <w:lang w:eastAsia="es-ES"/>
        </w:rPr>
        <w:t xml:space="preserve">/ </w:t>
      </w:r>
      <w:r w:rsidRPr="006D6EB8">
        <w:rPr>
          <w:rFonts w:ascii="Garamond" w:hAnsi="Garamond" w:cs="Garamond"/>
          <w:lang w:eastAsia="es-ES"/>
        </w:rPr>
        <w:t xml:space="preserve">Le principe </w:t>
      </w:r>
      <w:r>
        <w:rPr>
          <w:rFonts w:ascii="Garamond" w:hAnsi="Garamond" w:cs="Garamond"/>
          <w:lang w:eastAsia="es-ES"/>
        </w:rPr>
        <w:t>c</w:t>
      </w:r>
      <w:r w:rsidRPr="006D6EB8">
        <w:rPr>
          <w:rFonts w:ascii="Garamond" w:hAnsi="Garamond" w:cs="Garamond"/>
          <w:lang w:eastAsia="es-ES"/>
        </w:rPr>
        <w:t xml:space="preserve">onsiste à ajouter les nucléotides un type après l’autre. Si le nucléotide ajouté dans le milieu réactionnel correspond à celui attendu par la polymérase, il est incorporé dans le brin en cours de synthèse et libère un pyrophosphate. Une ATP </w:t>
      </w:r>
      <w:proofErr w:type="spellStart"/>
      <w:r w:rsidRPr="006D6EB8">
        <w:rPr>
          <w:rFonts w:ascii="Garamond" w:hAnsi="Garamond" w:cs="Garamond"/>
          <w:lang w:eastAsia="es-ES"/>
        </w:rPr>
        <w:t>sulfurylase</w:t>
      </w:r>
      <w:proofErr w:type="spellEnd"/>
      <w:r w:rsidRPr="006D6EB8">
        <w:rPr>
          <w:rFonts w:ascii="Garamond" w:hAnsi="Garamond" w:cs="Garamond"/>
          <w:lang w:eastAsia="es-ES"/>
        </w:rPr>
        <w:t xml:space="preserve"> vient alors transformer ce pyrophosphate (</w:t>
      </w:r>
      <w:proofErr w:type="spellStart"/>
      <w:r w:rsidRPr="006D6EB8">
        <w:rPr>
          <w:rFonts w:ascii="Garamond" w:hAnsi="Garamond" w:cs="Garamond"/>
          <w:lang w:eastAsia="es-ES"/>
        </w:rPr>
        <w:t>PPi</w:t>
      </w:r>
      <w:proofErr w:type="spellEnd"/>
      <w:r w:rsidRPr="006D6EB8">
        <w:rPr>
          <w:rFonts w:ascii="Garamond" w:hAnsi="Garamond" w:cs="Garamond"/>
          <w:lang w:eastAsia="es-ES"/>
        </w:rPr>
        <w:t>) en ATP qui est alors utilisé, couplé à une luciférine, par une luciférase. On assiste alors production d’</w:t>
      </w:r>
      <w:proofErr w:type="spellStart"/>
      <w:r w:rsidRPr="006D6EB8">
        <w:rPr>
          <w:rFonts w:ascii="Garamond" w:hAnsi="Garamond" w:cs="Garamond"/>
          <w:lang w:eastAsia="es-ES"/>
        </w:rPr>
        <w:t>oxyluciférine</w:t>
      </w:r>
      <w:proofErr w:type="spellEnd"/>
      <w:r w:rsidRPr="006D6EB8">
        <w:rPr>
          <w:rFonts w:ascii="Garamond" w:hAnsi="Garamond" w:cs="Garamond"/>
          <w:lang w:eastAsia="es-ES"/>
        </w:rPr>
        <w:t xml:space="preserve"> et d’un signal lumineux.</w:t>
      </w:r>
    </w:p>
    <w:p w:rsidR="006D6EB8" w:rsidRDefault="006D6EB8" w:rsidP="006D6EB8">
      <w:pPr>
        <w:spacing w:after="0"/>
        <w:jc w:val="both"/>
        <w:rPr>
          <w:rFonts w:ascii="Garamond" w:hAnsi="Garamond" w:cs="Garamond"/>
          <w:lang w:eastAsia="es-ES"/>
        </w:rPr>
      </w:pPr>
    </w:p>
    <w:p w:rsidR="009247EC" w:rsidRPr="002B3BED" w:rsidRDefault="006D6EB8" w:rsidP="002B3BED">
      <w:pPr>
        <w:spacing w:after="0"/>
        <w:jc w:val="both"/>
        <w:rPr>
          <w:rFonts w:ascii="Garamond" w:hAnsi="Garamond" w:cs="Garamond"/>
          <w:lang w:eastAsia="es-ES"/>
        </w:rPr>
      </w:pPr>
      <w:r>
        <w:rPr>
          <w:rFonts w:ascii="Garamond" w:hAnsi="Garamond" w:cs="Garamond"/>
          <w:lang w:eastAsia="es-ES"/>
        </w:rPr>
        <w:t xml:space="preserve">/ </w:t>
      </w:r>
      <w:r w:rsidRPr="006D6EB8">
        <w:rPr>
          <w:rFonts w:ascii="Garamond" w:hAnsi="Garamond" w:cs="Garamond"/>
          <w:lang w:eastAsia="es-ES"/>
        </w:rPr>
        <w:t>Le</w:t>
      </w:r>
      <w:r>
        <w:rPr>
          <w:rFonts w:ascii="Garamond" w:hAnsi="Garamond" w:cs="Garamond"/>
          <w:lang w:eastAsia="es-ES"/>
        </w:rPr>
        <w:t>s</w:t>
      </w:r>
      <w:r w:rsidRPr="006D6EB8">
        <w:rPr>
          <w:rFonts w:ascii="Garamond" w:hAnsi="Garamond" w:cs="Garamond"/>
          <w:lang w:eastAsia="es-ES"/>
        </w:rPr>
        <w:t xml:space="preserve"> nanopores permet</w:t>
      </w:r>
      <w:r>
        <w:rPr>
          <w:rFonts w:ascii="Garamond" w:hAnsi="Garamond" w:cs="Garamond"/>
          <w:lang w:eastAsia="es-ES"/>
        </w:rPr>
        <w:t>tent</w:t>
      </w:r>
      <w:r w:rsidRPr="006D6EB8">
        <w:rPr>
          <w:rFonts w:ascii="Garamond" w:hAnsi="Garamond" w:cs="Garamond"/>
          <w:lang w:eastAsia="es-ES"/>
        </w:rPr>
        <w:t xml:space="preserve"> de déterminer une séquence ADN à la résolution du nucléotide par lecture directe. Une molécule unique d'ADN traverse un pore formé par une protéine ancrée dans une bicouche lipidique par application d'un potentiel. Le nanopore est immergé dans un liquide conducteur, un courant électrique, issu de la conduction des ions, le traverse. </w:t>
      </w:r>
      <w:r>
        <w:rPr>
          <w:rFonts w:ascii="Garamond" w:hAnsi="Garamond" w:cs="Garamond"/>
          <w:lang w:eastAsia="es-ES"/>
        </w:rPr>
        <w:t>L</w:t>
      </w:r>
      <w:r w:rsidRPr="006D6EB8">
        <w:rPr>
          <w:rFonts w:ascii="Garamond" w:hAnsi="Garamond" w:cs="Garamond"/>
          <w:lang w:eastAsia="es-ES"/>
        </w:rPr>
        <w:t>a quantité de courant qui peut passer dans le nanopore diffère si le nanopore est obstrué par un A, un T, un G ou un C</w:t>
      </w:r>
      <w:r>
        <w:rPr>
          <w:rFonts w:ascii="Garamond" w:hAnsi="Garamond" w:cs="Garamond"/>
          <w:lang w:eastAsia="es-ES"/>
        </w:rPr>
        <w:t>.</w:t>
      </w:r>
    </w:p>
    <w:p w:rsidR="00952052" w:rsidRDefault="00952052">
      <w:pPr>
        <w:rPr>
          <w:rFonts w:ascii="Times New Roman" w:hAnsi="Times New Roman" w:cs="Times New Roman"/>
          <w:b/>
          <w:bCs/>
          <w:sz w:val="24"/>
          <w:szCs w:val="24"/>
        </w:rPr>
      </w:pPr>
      <w:r>
        <w:rPr>
          <w:rFonts w:ascii="Times New Roman" w:hAnsi="Times New Roman" w:cs="Times New Roman"/>
          <w:b/>
          <w:bCs/>
          <w:sz w:val="24"/>
          <w:szCs w:val="24"/>
        </w:rPr>
        <w:br w:type="page"/>
      </w:r>
    </w:p>
    <w:p w:rsidR="009247EC" w:rsidRPr="009605EF" w:rsidRDefault="009247EC" w:rsidP="009247EC">
      <w:pPr>
        <w:rPr>
          <w:rFonts w:ascii="Times New Roman" w:hAnsi="Times New Roman" w:cs="Times New Roman"/>
          <w:sz w:val="24"/>
          <w:szCs w:val="24"/>
        </w:rPr>
      </w:pPr>
      <w:r w:rsidRPr="009605EF">
        <w:rPr>
          <w:rFonts w:ascii="Times New Roman" w:hAnsi="Times New Roman" w:cs="Times New Roman"/>
          <w:b/>
          <w:bCs/>
          <w:sz w:val="24"/>
          <w:szCs w:val="24"/>
        </w:rPr>
        <w:lastRenderedPageBreak/>
        <w:t>Module :</w:t>
      </w:r>
      <w:r w:rsidRPr="009605EF">
        <w:rPr>
          <w:rFonts w:ascii="Times New Roman" w:hAnsi="Times New Roman" w:cs="Times New Roman"/>
          <w:sz w:val="24"/>
          <w:szCs w:val="24"/>
        </w:rPr>
        <w:t xml:space="preserve"> </w:t>
      </w:r>
      <w:r w:rsidR="00236CD1">
        <w:rPr>
          <w:rFonts w:ascii="Times New Roman" w:hAnsi="Times New Roman" w:cs="Times New Roman"/>
          <w:sz w:val="24"/>
          <w:szCs w:val="24"/>
        </w:rPr>
        <w:t>Biologie moléculaire</w:t>
      </w:r>
      <w:r>
        <w:rPr>
          <w:rFonts w:ascii="Times New Roman" w:hAnsi="Times New Roman" w:cs="Times New Roman"/>
          <w:sz w:val="24"/>
          <w:szCs w:val="24"/>
        </w:rPr>
        <w:tab/>
        <w:t>M1 Biologie moléculaire et cellulair</w:t>
      </w:r>
      <w:r w:rsidR="00631F8D">
        <w:rPr>
          <w:rFonts w:ascii="Times New Roman" w:hAnsi="Times New Roman" w:cs="Times New Roman"/>
          <w:sz w:val="24"/>
          <w:szCs w:val="24"/>
        </w:rPr>
        <w:t>e</w:t>
      </w:r>
    </w:p>
    <w:p w:rsidR="00952052" w:rsidRDefault="00952052" w:rsidP="00952052"/>
    <w:p w:rsidR="009605EF" w:rsidRDefault="00411971" w:rsidP="00142019">
      <w:pPr>
        <w:spacing w:after="0"/>
        <w:jc w:val="center"/>
        <w:rPr>
          <w:rFonts w:ascii="Garamond" w:hAnsi="Garamond"/>
          <w:b/>
          <w:bCs/>
          <w:sz w:val="28"/>
          <w:szCs w:val="28"/>
        </w:rPr>
      </w:pPr>
      <w:r>
        <w:rPr>
          <w:rFonts w:ascii="Garamond" w:hAnsi="Garamond"/>
          <w:b/>
          <w:bCs/>
          <w:sz w:val="28"/>
          <w:szCs w:val="28"/>
        </w:rPr>
        <w:t>Corrigé type</w:t>
      </w:r>
    </w:p>
    <w:p w:rsidR="007B10A0" w:rsidRDefault="007B10A0" w:rsidP="00142019">
      <w:pPr>
        <w:spacing w:after="0"/>
        <w:jc w:val="center"/>
        <w:rPr>
          <w:rFonts w:ascii="Garamond" w:hAnsi="Garamond"/>
          <w:b/>
          <w:bCs/>
          <w:sz w:val="28"/>
          <w:szCs w:val="28"/>
        </w:rPr>
      </w:pPr>
    </w:p>
    <w:p w:rsidR="00A74921" w:rsidRPr="00A74921" w:rsidRDefault="00411971" w:rsidP="009519E6">
      <w:pPr>
        <w:spacing w:after="0"/>
        <w:jc w:val="both"/>
        <w:rPr>
          <w:rFonts w:ascii="Garamond" w:hAnsi="Garamond" w:cs="Garamond"/>
          <w:lang w:eastAsia="es-ES"/>
        </w:rPr>
      </w:pPr>
      <w:r>
        <w:rPr>
          <w:rFonts w:ascii="Garamond" w:hAnsi="Garamond" w:cs="Garamond"/>
          <w:lang w:eastAsia="es-ES"/>
        </w:rPr>
        <w:t>/</w:t>
      </w:r>
      <w:r w:rsidR="009605EF">
        <w:rPr>
          <w:rFonts w:ascii="Garamond" w:hAnsi="Garamond" w:cs="Garamond"/>
          <w:lang w:eastAsia="es-ES"/>
        </w:rPr>
        <w:t xml:space="preserve"> </w:t>
      </w:r>
      <w:r w:rsidR="009519E6">
        <w:rPr>
          <w:rFonts w:ascii="Garamond" w:hAnsi="Garamond" w:cs="Garamond"/>
          <w:lang w:eastAsia="es-ES"/>
        </w:rPr>
        <w:t>A</w:t>
      </w:r>
      <w:r w:rsidR="00A74921" w:rsidRPr="00A74921">
        <w:rPr>
          <w:rFonts w:ascii="Garamond" w:hAnsi="Garamond" w:cs="Garamond"/>
          <w:lang w:eastAsia="es-ES"/>
        </w:rPr>
        <w:t xml:space="preserve"> détailler </w:t>
      </w:r>
      <w:r w:rsidR="009519E6">
        <w:rPr>
          <w:rFonts w:ascii="Garamond" w:hAnsi="Garamond" w:cs="Garamond"/>
          <w:lang w:eastAsia="es-ES"/>
        </w:rPr>
        <w:t xml:space="preserve">les points suivants conformément aux documents de cours </w:t>
      </w:r>
      <w:r w:rsidR="00A74921" w:rsidRPr="00A74921">
        <w:rPr>
          <w:rFonts w:ascii="Garamond" w:hAnsi="Garamond" w:cs="Garamond"/>
          <w:lang w:eastAsia="es-ES"/>
        </w:rPr>
        <w:t>:</w:t>
      </w:r>
    </w:p>
    <w:p w:rsidR="00A74921" w:rsidRPr="00A74921" w:rsidRDefault="00A74921" w:rsidP="00A74921">
      <w:pPr>
        <w:spacing w:after="0"/>
        <w:rPr>
          <w:rFonts w:ascii="Garamond" w:hAnsi="Garamond" w:cs="Garamond"/>
          <w:lang w:eastAsia="es-ES"/>
        </w:rPr>
      </w:pPr>
      <w:r w:rsidRPr="00A74921">
        <w:rPr>
          <w:rFonts w:ascii="Garamond" w:hAnsi="Garamond" w:cs="Garamond"/>
          <w:lang w:eastAsia="es-ES"/>
        </w:rPr>
        <w:t xml:space="preserve">Identification du gène d’intérêt, </w:t>
      </w:r>
    </w:p>
    <w:p w:rsidR="00A74921" w:rsidRPr="00A74921" w:rsidRDefault="00A74921" w:rsidP="00A74921">
      <w:pPr>
        <w:spacing w:after="0"/>
        <w:rPr>
          <w:rFonts w:ascii="Garamond" w:hAnsi="Garamond" w:cs="Garamond"/>
          <w:lang w:eastAsia="es-ES"/>
        </w:rPr>
      </w:pPr>
      <w:r w:rsidRPr="00A74921">
        <w:rPr>
          <w:rFonts w:ascii="Garamond" w:hAnsi="Garamond" w:cs="Garamond"/>
          <w:lang w:eastAsia="es-ES"/>
        </w:rPr>
        <w:t xml:space="preserve">Isolement du gène d’intérêt, </w:t>
      </w:r>
    </w:p>
    <w:p w:rsidR="00A74921" w:rsidRPr="00A74921" w:rsidRDefault="00A74921" w:rsidP="00A74921">
      <w:pPr>
        <w:spacing w:after="0"/>
        <w:rPr>
          <w:rFonts w:ascii="Garamond" w:hAnsi="Garamond" w:cs="Garamond"/>
          <w:lang w:eastAsia="es-ES"/>
        </w:rPr>
      </w:pPr>
      <w:r w:rsidRPr="00A74921">
        <w:rPr>
          <w:rFonts w:ascii="Garamond" w:hAnsi="Garamond" w:cs="Garamond"/>
          <w:lang w:eastAsia="es-ES"/>
        </w:rPr>
        <w:t>Construction génique</w:t>
      </w:r>
    </w:p>
    <w:p w:rsidR="00A74921" w:rsidRPr="00A74921" w:rsidRDefault="00A74921" w:rsidP="00A74921">
      <w:pPr>
        <w:spacing w:after="0"/>
        <w:rPr>
          <w:rFonts w:ascii="Garamond" w:hAnsi="Garamond" w:cs="Garamond"/>
          <w:lang w:eastAsia="es-ES"/>
        </w:rPr>
      </w:pPr>
      <w:r w:rsidRPr="00A74921">
        <w:rPr>
          <w:rFonts w:ascii="Garamond" w:hAnsi="Garamond" w:cs="Garamond"/>
          <w:lang w:eastAsia="es-ES"/>
        </w:rPr>
        <w:t>Multiplication du gène d'intérêt</w:t>
      </w:r>
    </w:p>
    <w:p w:rsidR="00A74921" w:rsidRPr="00A74921" w:rsidRDefault="00A74921" w:rsidP="00A74921">
      <w:pPr>
        <w:spacing w:after="0"/>
        <w:rPr>
          <w:rFonts w:ascii="Garamond" w:hAnsi="Garamond" w:cs="Garamond"/>
          <w:lang w:eastAsia="es-ES"/>
        </w:rPr>
      </w:pPr>
      <w:r w:rsidRPr="00A74921">
        <w:rPr>
          <w:rFonts w:ascii="Garamond" w:hAnsi="Garamond" w:cs="Garamond"/>
          <w:lang w:eastAsia="es-ES"/>
        </w:rPr>
        <w:t>Transfert du gène d'intérêt</w:t>
      </w:r>
    </w:p>
    <w:p w:rsidR="00A74921" w:rsidRPr="00A74921" w:rsidRDefault="00A74921" w:rsidP="00A74921">
      <w:pPr>
        <w:spacing w:after="0"/>
        <w:rPr>
          <w:rFonts w:ascii="Garamond" w:hAnsi="Garamond" w:cs="Garamond"/>
          <w:lang w:eastAsia="es-ES"/>
        </w:rPr>
      </w:pPr>
      <w:r w:rsidRPr="00A74921">
        <w:rPr>
          <w:rFonts w:ascii="Garamond" w:hAnsi="Garamond" w:cs="Garamond"/>
          <w:lang w:eastAsia="es-ES"/>
        </w:rPr>
        <w:t>Sélection des cellules transformées</w:t>
      </w:r>
    </w:p>
    <w:p w:rsidR="00A74921" w:rsidRPr="00A74921" w:rsidRDefault="00A74921" w:rsidP="00A74921">
      <w:pPr>
        <w:spacing w:after="0"/>
        <w:rPr>
          <w:rFonts w:ascii="Garamond" w:hAnsi="Garamond" w:cs="Garamond"/>
          <w:lang w:eastAsia="es-ES"/>
        </w:rPr>
      </w:pPr>
      <w:r w:rsidRPr="00A74921">
        <w:rPr>
          <w:rFonts w:ascii="Garamond" w:hAnsi="Garamond" w:cs="Garamond"/>
          <w:lang w:eastAsia="es-ES"/>
        </w:rPr>
        <w:t>Régénération des cellules transformées</w:t>
      </w:r>
    </w:p>
    <w:p w:rsidR="00411971" w:rsidRDefault="00A74921" w:rsidP="00A74921">
      <w:pPr>
        <w:spacing w:after="0"/>
        <w:jc w:val="both"/>
        <w:rPr>
          <w:rFonts w:ascii="Garamond" w:hAnsi="Garamond" w:cs="Garamond"/>
          <w:lang w:eastAsia="es-ES"/>
        </w:rPr>
      </w:pPr>
      <w:r w:rsidRPr="00A74921">
        <w:rPr>
          <w:rFonts w:ascii="Garamond" w:hAnsi="Garamond" w:cs="Garamond"/>
          <w:lang w:eastAsia="es-ES"/>
        </w:rPr>
        <w:t>Contrôle de l’efficacité du transfert chez l’hôte.</w:t>
      </w:r>
    </w:p>
    <w:p w:rsidR="00A74921" w:rsidRDefault="00A74921" w:rsidP="00A74921">
      <w:pPr>
        <w:spacing w:after="0"/>
        <w:jc w:val="both"/>
        <w:rPr>
          <w:rFonts w:ascii="Garamond" w:hAnsi="Garamond" w:cs="Garamond"/>
          <w:lang w:eastAsia="es-ES"/>
        </w:rPr>
      </w:pPr>
    </w:p>
    <w:p w:rsidR="00411971" w:rsidRPr="00411971" w:rsidRDefault="00411971" w:rsidP="009519E6">
      <w:pPr>
        <w:spacing w:after="0"/>
        <w:jc w:val="both"/>
        <w:rPr>
          <w:rFonts w:ascii="Garamond" w:hAnsi="Garamond" w:cs="Garamond"/>
          <w:lang w:eastAsia="es-ES"/>
        </w:rPr>
      </w:pPr>
      <w:r>
        <w:rPr>
          <w:rFonts w:ascii="Garamond" w:hAnsi="Garamond" w:cs="Garamond"/>
          <w:lang w:eastAsia="es-ES"/>
        </w:rPr>
        <w:t xml:space="preserve">/ </w:t>
      </w:r>
      <w:r w:rsidR="009519E6">
        <w:rPr>
          <w:rFonts w:ascii="Garamond" w:hAnsi="Garamond" w:cs="Garamond"/>
          <w:lang w:eastAsia="es-ES"/>
        </w:rPr>
        <w:t>Discussion libre concernant les avantages et les inconvénients des organismes génétiquement modifiés conformément à ce qu’a été dispensé dans le cours et les exposés présentés par les étudiants.</w:t>
      </w:r>
    </w:p>
    <w:sectPr w:rsidR="00411971" w:rsidRPr="00411971" w:rsidSect="00DB384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EF"/>
    <w:rsid w:val="00142019"/>
    <w:rsid w:val="00236CD1"/>
    <w:rsid w:val="002B3BED"/>
    <w:rsid w:val="00411971"/>
    <w:rsid w:val="004D3DFF"/>
    <w:rsid w:val="00631F8D"/>
    <w:rsid w:val="00697C48"/>
    <w:rsid w:val="006D6EB8"/>
    <w:rsid w:val="007B10A0"/>
    <w:rsid w:val="009247EC"/>
    <w:rsid w:val="009519E6"/>
    <w:rsid w:val="00952052"/>
    <w:rsid w:val="009605EF"/>
    <w:rsid w:val="00A143F8"/>
    <w:rsid w:val="00A74921"/>
    <w:rsid w:val="00B611C2"/>
    <w:rsid w:val="00DB38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273A"/>
  <w15:chartTrackingRefBased/>
  <w15:docId w15:val="{649B73AD-7CCE-40B2-BE8A-FDB50EEF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256678">
      <w:bodyDiv w:val="1"/>
      <w:marLeft w:val="0"/>
      <w:marRight w:val="0"/>
      <w:marTop w:val="0"/>
      <w:marBottom w:val="0"/>
      <w:divBdr>
        <w:top w:val="none" w:sz="0" w:space="0" w:color="auto"/>
        <w:left w:val="none" w:sz="0" w:space="0" w:color="auto"/>
        <w:bottom w:val="none" w:sz="0" w:space="0" w:color="auto"/>
        <w:right w:val="none" w:sz="0" w:space="0" w:color="auto"/>
      </w:divBdr>
    </w:div>
    <w:div w:id="7266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univ-tiaret.dz/images/logo.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TAIBI</dc:creator>
  <cp:keywords/>
  <dc:description/>
  <cp:lastModifiedBy>Khaled TAIBI</cp:lastModifiedBy>
  <cp:revision>10</cp:revision>
  <dcterms:created xsi:type="dcterms:W3CDTF">2023-01-31T20:22:00Z</dcterms:created>
  <dcterms:modified xsi:type="dcterms:W3CDTF">2024-02-07T22:13:00Z</dcterms:modified>
</cp:coreProperties>
</file>